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 xml:space="preserve">Приложение </w:t>
      </w:r>
      <w:r w:rsidR="003F2855" w:rsidRPr="00925368">
        <w:rPr>
          <w:rFonts w:ascii="Times New Roman" w:hAnsi="Times New Roman" w:cs="Times New Roman"/>
          <w:sz w:val="24"/>
        </w:rPr>
        <w:t>№</w:t>
      </w:r>
      <w:r w:rsidRPr="00925368">
        <w:rPr>
          <w:rFonts w:ascii="Times New Roman" w:hAnsi="Times New Roman" w:cs="Times New Roman"/>
          <w:sz w:val="24"/>
        </w:rPr>
        <w:t xml:space="preserve"> </w:t>
      </w:r>
      <w:r w:rsidR="00044E73">
        <w:rPr>
          <w:rFonts w:ascii="Times New Roman" w:hAnsi="Times New Roman" w:cs="Times New Roman"/>
          <w:sz w:val="24"/>
        </w:rPr>
        <w:t>26</w:t>
      </w:r>
    </w:p>
    <w:p w:rsidR="004C2BC5" w:rsidRPr="00925368" w:rsidRDefault="004C2BC5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>Утверждена</w:t>
      </w: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>приказом МЧС России</w:t>
      </w: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 xml:space="preserve">от 09.02.2022 </w:t>
      </w:r>
      <w:r w:rsidR="003F2855" w:rsidRPr="00925368">
        <w:rPr>
          <w:rFonts w:ascii="Times New Roman" w:hAnsi="Times New Roman" w:cs="Times New Roman"/>
          <w:sz w:val="24"/>
        </w:rPr>
        <w:t>№</w:t>
      </w:r>
      <w:r w:rsidRPr="00925368">
        <w:rPr>
          <w:rFonts w:ascii="Times New Roman" w:hAnsi="Times New Roman" w:cs="Times New Roman"/>
          <w:sz w:val="24"/>
        </w:rPr>
        <w:t xml:space="preserve"> 78</w:t>
      </w:r>
    </w:p>
    <w:p w:rsidR="004C2BC5" w:rsidRPr="00925368" w:rsidRDefault="004C2BC5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>Форма</w:t>
      </w:r>
    </w:p>
    <w:p w:rsidR="004C2BC5" w:rsidRPr="00925368" w:rsidRDefault="004C2BC5" w:rsidP="00B321E6">
      <w:pPr>
        <w:pStyle w:val="ConsPlusNormal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W w:w="998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03"/>
      </w:tblGrid>
      <w:tr w:rsidR="00423CD0" w:rsidRPr="00925368" w:rsidTr="00B321E6">
        <w:tc>
          <w:tcPr>
            <w:tcW w:w="4882" w:type="dxa"/>
            <w:tcBorders>
              <w:right w:val="single" w:sz="4" w:space="0" w:color="000000"/>
            </w:tcBorders>
            <w:shd w:val="clear" w:color="auto" w:fill="auto"/>
          </w:tcPr>
          <w:p w:rsidR="004C2BC5" w:rsidRPr="00925368" w:rsidRDefault="004C2BC5" w:rsidP="00B321E6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925368" w:rsidRDefault="00AC1D38" w:rsidP="00B321E6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 xml:space="preserve">Отметка о размещении (дата и учетный номер) сведений о контрольном (надзорном) мероприятии в едином реестре контрольных (надзорных) мероприятий, QR-код </w:t>
            </w:r>
            <w:r w:rsidRPr="00925368">
              <w:rPr>
                <w:rStyle w:val="ab"/>
                <w:rFonts w:ascii="Times New Roman" w:hAnsi="Times New Roman" w:cs="Times New Roman"/>
                <w:sz w:val="24"/>
              </w:rPr>
              <w:footnoteReference w:id="1"/>
            </w:r>
          </w:p>
        </w:tc>
      </w:tr>
    </w:tbl>
    <w:p w:rsidR="004C2BC5" w:rsidRPr="00925368" w:rsidRDefault="004C2BC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10189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38"/>
        <w:gridCol w:w="3620"/>
        <w:gridCol w:w="73"/>
        <w:gridCol w:w="1397"/>
        <w:gridCol w:w="1438"/>
        <w:gridCol w:w="391"/>
        <w:gridCol w:w="521"/>
        <w:gridCol w:w="947"/>
        <w:gridCol w:w="268"/>
        <w:gridCol w:w="663"/>
        <w:gridCol w:w="187"/>
      </w:tblGrid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ar74"/>
            <w:bookmarkEnd w:id="0"/>
            <w:r w:rsidRPr="00925368">
              <w:rPr>
                <w:rFonts w:ascii="Times New Roman" w:hAnsi="Times New Roman" w:cs="Times New Roman"/>
                <w:sz w:val="24"/>
              </w:rPr>
              <w:t>Проверочный лист</w:t>
            </w:r>
          </w:p>
          <w:p w:rsidR="004C2BC5" w:rsidRPr="00925368" w:rsidRDefault="00AC1D38" w:rsidP="00FC28D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</w:t>
            </w:r>
            <w:r w:rsidR="00044E73" w:rsidRPr="00044E73">
              <w:rPr>
                <w:rFonts w:ascii="Times New Roman" w:hAnsi="Times New Roman" w:cs="Times New Roman"/>
                <w:sz w:val="24"/>
              </w:rPr>
              <w:t>на объектах применения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shd w:val="clear" w:color="auto" w:fill="auto"/>
            <w:vAlign w:val="bottom"/>
          </w:tcPr>
          <w:p w:rsidR="004C2BC5" w:rsidRPr="00925368" w:rsidRDefault="00AC1D38" w:rsidP="009253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(далее - проверочный лист): _______________________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</w:t>
            </w:r>
            <w:r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3. Вид контрольного (надзорного) мероприятия: ______________________________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</w:t>
            </w:r>
            <w:r w:rsidR="00925368">
              <w:rPr>
                <w:rFonts w:ascii="Times New Roman" w:hAnsi="Times New Roman" w:cs="Times New Roman"/>
                <w:sz w:val="24"/>
              </w:rPr>
              <w:t>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4. Объект федерального государственного контроля (надзора), в отношении которого проводится контрольное (надзорное) ме</w:t>
            </w:r>
            <w:r w:rsidR="00925368">
              <w:rPr>
                <w:rFonts w:ascii="Times New Roman" w:hAnsi="Times New Roman" w:cs="Times New Roman"/>
                <w:sz w:val="24"/>
              </w:rPr>
              <w:t>роприятие: _____________</w:t>
            </w:r>
            <w:r w:rsidR="003F2855" w:rsidRPr="00925368">
              <w:rPr>
                <w:rFonts w:ascii="Times New Roman" w:hAnsi="Times New Roman" w:cs="Times New Roman"/>
                <w:sz w:val="24"/>
              </w:rPr>
              <w:t>___________________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 w:rsidP="009253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 xml:space="preserve">5. Фамилия, имя и отчество (при наличии) гражданина или индивидуального </w:t>
            </w:r>
            <w:r w:rsidRPr="00925368">
              <w:rPr>
                <w:rFonts w:ascii="Times New Roman" w:hAnsi="Times New Roman" w:cs="Times New Roman"/>
                <w:sz w:val="24"/>
              </w:rP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</w:t>
            </w:r>
            <w:r w:rsidR="00925368">
              <w:rPr>
                <w:rFonts w:ascii="Times New Roman" w:hAnsi="Times New Roman" w:cs="Times New Roman"/>
                <w:sz w:val="24"/>
              </w:rPr>
              <w:t xml:space="preserve">ицами: 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6. Место(а) проведения контрольного (надзорного) мероприятия с заполнением проверочного листа: ______________________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__________________________________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</w:t>
            </w:r>
            <w:r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  <w:r w:rsidRPr="00925368"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 w:rsidP="009253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8. Учетный номер контрольного (надзорного) мероприятия: 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</w:t>
            </w:r>
            <w:r w:rsidR="003F2855" w:rsidRPr="00925368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9. Должность(и), фамилия(и) и инициалы должностного(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лица (лиц) контрольного (надзорного) органа, в должностные обязанности которого(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в соответствии с положением о виде федерального государственного контроля (надзора), должностным(и) регламентом(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ами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или должностной(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ыми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инструкцией(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ями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проводящего(их) контрольное (надзорное) мероприятие и заполняющег</w:t>
            </w:r>
            <w:r w:rsidR="00925368">
              <w:rPr>
                <w:rFonts w:ascii="Times New Roman" w:hAnsi="Times New Roman" w:cs="Times New Roman"/>
                <w:sz w:val="24"/>
              </w:rPr>
              <w:t>о(их) проверочный лист: 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10. Дата заполнения проверочного листа: __</w:t>
            </w:r>
            <w:r w:rsidR="00925368">
              <w:rPr>
                <w:rFonts w:ascii="Times New Roman" w:hAnsi="Times New Roman" w:cs="Times New Roman"/>
                <w:sz w:val="24"/>
              </w:rPr>
              <w:t>_________________</w:t>
            </w:r>
            <w:r w:rsidR="003F2855" w:rsidRPr="00925368">
              <w:rPr>
                <w:rFonts w:ascii="Times New Roman" w:hAnsi="Times New Roman" w:cs="Times New Roman"/>
                <w:sz w:val="24"/>
              </w:rPr>
              <w:t>__________________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  <w:r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423CD0" w:rsidRPr="000A2591" w:rsidTr="00925368"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3F2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№</w:t>
            </w:r>
            <w:r w:rsidR="00AC1D38" w:rsidRPr="000A2591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23CD0" w:rsidRPr="000A2591" w:rsidTr="00925368"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неприменимо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Применяются ли в зданиях и сооружениях пиротехнические изделия не выше II класса опасности?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7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449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16.09.2020 № 1479</w:t>
            </w:r>
            <w:r w:rsidR="00044E73" w:rsidRPr="009B0802">
              <w:rPr>
                <w:rStyle w:val="ab"/>
                <w:rFonts w:ascii="Times New Roman" w:hAnsi="Times New Roman" w:cs="Times New Roman"/>
                <w:sz w:val="24"/>
              </w:rPr>
              <w:footnoteReference w:id="2"/>
            </w:r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(далее - ППР)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9B0802">
              <w:rPr>
                <w:rFonts w:ascii="Times New Roman" w:hAnsi="Times New Roman" w:cs="Times New Roman"/>
                <w:sz w:val="24"/>
                <w:highlight w:val="white"/>
              </w:rPr>
              <w:t>2.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9B0802">
              <w:rPr>
                <w:rFonts w:ascii="Times New Roman" w:hAnsi="Times New Roman" w:cs="Times New Roman"/>
                <w:sz w:val="24"/>
                <w:highlight w:val="white"/>
              </w:rPr>
              <w:t>Утвержден ли регламент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размещения, организатором мероприятия?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8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450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Имеет ли оборудование применяемых сценических эффектов возможность экстренного дистанционного отключения?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9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451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Составляет ли радиус опасной зоны применяемых пиротехнических изделий не более 5 метров?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452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EF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Выделена ли опасная зона применяемых пиротехнических изделий специальными утяжеле</w:t>
            </w:r>
            <w:r w:rsidR="00EF622E">
              <w:rPr>
                <w:rFonts w:ascii="Times New Roman" w:hAnsi="Times New Roman" w:cs="Times New Roman"/>
                <w:sz w:val="24"/>
              </w:rPr>
              <w:t>нными барьерными ограждениями («</w:t>
            </w:r>
            <w:r w:rsidRPr="009B0802">
              <w:rPr>
                <w:rFonts w:ascii="Times New Roman" w:hAnsi="Times New Roman" w:cs="Times New Roman"/>
                <w:sz w:val="24"/>
              </w:rPr>
              <w:t>тяжелый барьер</w:t>
            </w:r>
            <w:r w:rsidR="00EF622E">
              <w:rPr>
                <w:rFonts w:ascii="Times New Roman" w:hAnsi="Times New Roman" w:cs="Times New Roman"/>
                <w:sz w:val="24"/>
              </w:rPr>
              <w:t>»</w:t>
            </w:r>
            <w:bookmarkStart w:id="1" w:name="_GoBack"/>
            <w:bookmarkEnd w:id="1"/>
            <w:r w:rsidRPr="009B0802">
              <w:rPr>
                <w:rFonts w:ascii="Times New Roman" w:hAnsi="Times New Roman" w:cs="Times New Roman"/>
                <w:sz w:val="24"/>
              </w:rPr>
              <w:t>)?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452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Установлены ли пиротехнические изделия с учетом радиуса опасных зон применяемых изделий?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452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 xml:space="preserve">Установлены ли специальные сценические эффекты, профессиональные </w:t>
            </w:r>
            <w:r w:rsidRPr="009B0802">
              <w:rPr>
                <w:rFonts w:ascii="Times New Roman" w:hAnsi="Times New Roman" w:cs="Times New Roman"/>
                <w:sz w:val="24"/>
              </w:rPr>
              <w:lastRenderedPageBreak/>
              <w:t>пиротехнические изделия и огневые эффекты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3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452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Имеют ли места установки специальных сценических эффектов, профессиональных пиротехнических изделий и огневых эффектов покрытие из негорючих материалов или материалов, обработанных огнезащитными составами, с подтверждением качества такой обработки?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452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Эксплуатируется ли применяемое оборудование в строгом соответствии с инструкцией (паспортом на оборудование) предприятия-изготовителя?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453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Организовано ли 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не менее 2 пожарных постов для визуального контроля за работой сценических эффектов?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454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4А, а также покрывалом для изоляции очага возгорания?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7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454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 xml:space="preserve">Назначено ли на период подготовки и проведения мероприятия с применением специальных сценических эффектов, профессиональных пиротехнических изделий и </w:t>
            </w:r>
            <w:r w:rsidRPr="009B0802">
              <w:rPr>
                <w:rFonts w:ascii="Times New Roman" w:hAnsi="Times New Roman" w:cs="Times New Roman"/>
                <w:sz w:val="24"/>
              </w:rPr>
              <w:lastRenderedPageBreak/>
              <w:t>огневых эффектов приказом руководителя ответственное лицо, контролирующее монтаж, демонтаж и процесс эксплуатации указанного оборудования и изделий?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8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454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Исключено ли применение специальных сценических эффектов при нахождении в опасном радиусе людей?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455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Исключено ли применение специальных сценических эффектов и (или) пиротехнических изделий в зданиях и сооружениях IV, V степени огнестойкости?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0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455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Исключено ли применение неисправного и поврежденного оборудования для создания специальных сценических эффектов?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1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455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Исключено ли складирование и (или)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2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455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Осуществляется ли проверка при подготовке и монтаже специальных сценических эффектов с использованием горючих газов, а также не ранее чем за 2 часа до начала их применения исправности и герметичности оборудования посредством анализа проб воздушной среды?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3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456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Изготовлены ли временные сценические конструкции (помосты, подиумы и др.) из негорючих материалов или материалов, обработанных огнезащитными составами, с подтверждением качества такой обработки?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4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457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Исключено ли использование декораций, выполненных из горючих материалов, без огнезащитной обработки?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5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457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Защищены ли закрытые пространства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6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457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7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458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E73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044E73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B0802">
              <w:rPr>
                <w:rFonts w:ascii="Times New Roman" w:hAnsi="Times New Roman" w:cs="Times New Roman"/>
                <w:sz w:val="24"/>
              </w:rPr>
              <w:t>Реализован ли комплекс дополнительных инженерно-технических и организационных мероприятий,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9B0802" w:rsidRDefault="00EF622E" w:rsidP="0004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8">
              <w:r w:rsidR="00044E73" w:rsidRPr="009B0802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458</w:t>
              </w:r>
            </w:hyperlink>
            <w:r w:rsidR="00044E73" w:rsidRPr="009B0802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73" w:rsidRPr="000A2591" w:rsidRDefault="00044E73" w:rsidP="00044E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shd w:val="clear" w:color="auto" w:fill="auto"/>
          </w:tcPr>
          <w:p w:rsidR="00951873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Должностное(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лицо(а), проводившее(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контрольное (надзорное) мероприятие и заполнившее(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проверочный лист: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</w:tbl>
    <w:p w:rsidR="004C2BC5" w:rsidRPr="00925368" w:rsidRDefault="004C2BC5" w:rsidP="009253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4C2BC5" w:rsidRPr="00925368" w:rsidSect="000A2591">
      <w:headerReference w:type="default" r:id="rId29"/>
      <w:pgSz w:w="11907" w:h="16840"/>
      <w:pgMar w:top="851" w:right="1134" w:bottom="1701" w:left="1134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55" w:rsidRDefault="003F2855" w:rsidP="00AC1D38">
      <w:pPr>
        <w:spacing w:after="0" w:line="240" w:lineRule="auto"/>
      </w:pPr>
      <w:r>
        <w:separator/>
      </w:r>
    </w:p>
  </w:endnote>
  <w:endnote w:type="continuationSeparator" w:id="0">
    <w:p w:rsidR="003F2855" w:rsidRDefault="003F2855" w:rsidP="00AC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55" w:rsidRDefault="003F2855" w:rsidP="00AC1D38">
      <w:pPr>
        <w:spacing w:after="0" w:line="240" w:lineRule="auto"/>
      </w:pPr>
      <w:r>
        <w:separator/>
      </w:r>
    </w:p>
  </w:footnote>
  <w:footnote w:type="continuationSeparator" w:id="0">
    <w:p w:rsidR="003F2855" w:rsidRDefault="003F2855" w:rsidP="00AC1D38">
      <w:pPr>
        <w:spacing w:after="0" w:line="240" w:lineRule="auto"/>
      </w:pPr>
      <w:r>
        <w:continuationSeparator/>
      </w:r>
    </w:p>
  </w:footnote>
  <w:footnote w:id="1">
    <w:p w:rsidR="003F2855" w:rsidRDefault="003F2855" w:rsidP="003F2855">
      <w:pPr>
        <w:pStyle w:val="a9"/>
        <w:ind w:right="849"/>
      </w:pPr>
      <w:r>
        <w:rPr>
          <w:rStyle w:val="ab"/>
        </w:rPr>
        <w:footnoteRef/>
      </w:r>
      <w:r>
        <w:t xml:space="preserve"> </w:t>
      </w:r>
      <w:hyperlink r:id="rId1">
        <w:r w:rsidRPr="00DE23C8">
          <w:rPr>
            <w:rStyle w:val="ListLabel8"/>
            <w:rFonts w:ascii="Times New Roman" w:hAnsi="Times New Roman" w:cs="Times New Roman"/>
            <w:color w:val="auto"/>
            <w:szCs w:val="20"/>
          </w:rPr>
          <w:t>Постановление</w:t>
        </w:r>
      </w:hyperlink>
      <w:r w:rsidRPr="00DE23C8">
        <w:rPr>
          <w:rFonts w:ascii="Times New Roman" w:hAnsi="Times New Roman" w:cs="Times New Roman"/>
          <w:szCs w:val="20"/>
        </w:rPr>
        <w:t xml:space="preserve"> </w:t>
      </w:r>
      <w:r w:rsidRPr="003F2855">
        <w:rPr>
          <w:rFonts w:ascii="Times New Roman" w:hAnsi="Times New Roman" w:cs="Times New Roman"/>
          <w:szCs w:val="20"/>
        </w:rPr>
        <w:t>Правительства Российской Федерации от 16 апреля 2021 г.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415" (Собрание законодательства Российской Федерации, 2021, № 17, ст. 2971; 2021, № 30, ст. 5781).</w:t>
      </w:r>
    </w:p>
  </w:footnote>
  <w:footnote w:id="2">
    <w:p w:rsidR="00044E73" w:rsidRPr="00AA135D" w:rsidRDefault="00044E73" w:rsidP="00AA135D"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A135D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2020, № 39, ст. 6056.</w:t>
      </w:r>
    </w:p>
    <w:p w:rsidR="00044E73" w:rsidRPr="00AA135D" w:rsidRDefault="00044E73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653"/>
      <w:docPartObj>
        <w:docPartGallery w:val="Page Numbers (Top of Page)"/>
        <w:docPartUnique/>
      </w:docPartObj>
    </w:sdtPr>
    <w:sdtEndPr/>
    <w:sdtContent>
      <w:p w:rsidR="000A2591" w:rsidRDefault="000A25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2E">
          <w:rPr>
            <w:noProof/>
          </w:rPr>
          <w:t>7</w:t>
        </w:r>
        <w:r>
          <w:fldChar w:fldCharType="end"/>
        </w:r>
      </w:p>
    </w:sdtContent>
  </w:sdt>
  <w:p w:rsidR="000A2591" w:rsidRDefault="000A259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5"/>
    <w:rsid w:val="00040E0C"/>
    <w:rsid w:val="00044E73"/>
    <w:rsid w:val="000A2591"/>
    <w:rsid w:val="003F2855"/>
    <w:rsid w:val="00423CD0"/>
    <w:rsid w:val="004C2BC5"/>
    <w:rsid w:val="00701C20"/>
    <w:rsid w:val="00925368"/>
    <w:rsid w:val="00951873"/>
    <w:rsid w:val="00AC1D38"/>
    <w:rsid w:val="00B321E6"/>
    <w:rsid w:val="00C5133F"/>
    <w:rsid w:val="00D7639B"/>
    <w:rsid w:val="00DE23C8"/>
    <w:rsid w:val="00ED4539"/>
    <w:rsid w:val="00EF622E"/>
    <w:rsid w:val="00F530B6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5CF"/>
  <w15:docId w15:val="{B437BFFB-1A88-4F8C-AFB8-8E6C3DFA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eastAsia="Tahoma" w:hAnsi="Tahoma"/>
      <w:color w:val="0000FF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color w:val="00B050"/>
    </w:rPr>
  </w:style>
  <w:style w:type="character" w:customStyle="1" w:styleId="ListLabel4">
    <w:name w:val="ListLabel 4"/>
    <w:qFormat/>
    <w:rPr>
      <w:rFonts w:ascii="Tahoma" w:eastAsia="Tahoma" w:hAnsi="Tahoma"/>
      <w:color w:val="0000FF"/>
      <w:sz w:val="20"/>
    </w:rPr>
  </w:style>
  <w:style w:type="character" w:customStyle="1" w:styleId="ListLabel5">
    <w:name w:val="ListLabel 5"/>
    <w:qFormat/>
    <w:rPr>
      <w:color w:val="0000FF"/>
    </w:rPr>
  </w:style>
  <w:style w:type="character" w:customStyle="1" w:styleId="ListLabel6">
    <w:name w:val="ListLabel 6"/>
    <w:qFormat/>
    <w:rPr>
      <w:color w:val="00B050"/>
    </w:rPr>
  </w:style>
  <w:style w:type="character" w:customStyle="1" w:styleId="ListLabel7">
    <w:name w:val="ListLabel 7"/>
    <w:qFormat/>
    <w:rPr>
      <w:rFonts w:ascii="Tahoma" w:eastAsia="Tahoma" w:hAnsi="Tahoma" w:cs="Tahoma"/>
      <w:color w:val="0000FF"/>
      <w:sz w:val="20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highlight w:val="red"/>
    </w:rPr>
  </w:style>
  <w:style w:type="character" w:customStyle="1" w:styleId="ListLabel10">
    <w:name w:val="ListLabel 10"/>
    <w:qFormat/>
    <w:rPr>
      <w:color w:val="00B050"/>
    </w:rPr>
  </w:style>
  <w:style w:type="character" w:customStyle="1" w:styleId="ListLabel11">
    <w:name w:val="ListLabel 11"/>
    <w:qFormat/>
    <w:rPr>
      <w:rFonts w:ascii="Tahoma" w:eastAsia="Tahoma" w:hAnsi="Tahoma" w:cs="Tahoma"/>
      <w:color w:val="0000FF"/>
      <w:sz w:val="20"/>
    </w:rPr>
  </w:style>
  <w:style w:type="character" w:customStyle="1" w:styleId="ListLabel12">
    <w:name w:val="ListLabel 12"/>
    <w:qFormat/>
    <w:rPr>
      <w:color w:val="0000FF"/>
    </w:rPr>
  </w:style>
  <w:style w:type="character" w:customStyle="1" w:styleId="ListLabel13">
    <w:name w:val="ListLabel 13"/>
    <w:qFormat/>
    <w:rPr>
      <w:color w:val="0000FF"/>
      <w:highlight w:val="yellow"/>
    </w:rPr>
  </w:style>
  <w:style w:type="character" w:customStyle="1" w:styleId="ListLabel14">
    <w:name w:val="ListLabel 14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15">
    <w:name w:val="ListLabel 15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16">
    <w:name w:val="ListLabel 16"/>
    <w:qFormat/>
    <w:rPr>
      <w:rFonts w:ascii="Arimo" w:hAnsi="Arimo"/>
      <w:color w:val="0000FF"/>
      <w:sz w:val="16"/>
      <w:szCs w:val="16"/>
    </w:rPr>
  </w:style>
  <w:style w:type="character" w:customStyle="1" w:styleId="ListLabel17">
    <w:name w:val="ListLabel 17"/>
    <w:qFormat/>
    <w:rPr>
      <w:color w:val="auto"/>
      <w:highlight w:val="white"/>
    </w:rPr>
  </w:style>
  <w:style w:type="character" w:customStyle="1" w:styleId="ListLabel18">
    <w:name w:val="ListLabel 18"/>
    <w:qFormat/>
    <w:rPr>
      <w:color w:val="0000FF"/>
    </w:rPr>
  </w:style>
  <w:style w:type="character" w:customStyle="1" w:styleId="ListLabel19">
    <w:name w:val="ListLabel 19"/>
    <w:qFormat/>
    <w:rPr>
      <w:color w:val="0000FF"/>
      <w:highlight w:val="yellow"/>
    </w:rPr>
  </w:style>
  <w:style w:type="character" w:customStyle="1" w:styleId="ListLabel20">
    <w:name w:val="ListLabel 20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1">
    <w:name w:val="ListLabel 21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2">
    <w:name w:val="ListLabel 22"/>
    <w:qFormat/>
    <w:rPr>
      <w:rFonts w:ascii="Arimo" w:hAnsi="Arimo"/>
      <w:color w:val="0000FF"/>
      <w:sz w:val="16"/>
      <w:szCs w:val="16"/>
    </w:rPr>
  </w:style>
  <w:style w:type="character" w:customStyle="1" w:styleId="ListLabel23">
    <w:name w:val="ListLabel 23"/>
    <w:qFormat/>
    <w:rPr>
      <w:color w:val="auto"/>
      <w:highlight w:val="white"/>
    </w:rPr>
  </w:style>
  <w:style w:type="character" w:customStyle="1" w:styleId="ListLabel24">
    <w:name w:val="ListLabel 24"/>
    <w:qFormat/>
    <w:rPr>
      <w:color w:val="0000FF"/>
    </w:rPr>
  </w:style>
  <w:style w:type="character" w:customStyle="1" w:styleId="ListLabel25">
    <w:name w:val="ListLabel 25"/>
    <w:qFormat/>
    <w:rPr>
      <w:color w:val="0000FF"/>
      <w:highlight w:val="yellow"/>
    </w:rPr>
  </w:style>
  <w:style w:type="character" w:customStyle="1" w:styleId="ListLabel26">
    <w:name w:val="ListLabel 26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7">
    <w:name w:val="ListLabel 27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8">
    <w:name w:val="ListLabel 28"/>
    <w:qFormat/>
    <w:rPr>
      <w:rFonts w:ascii="Arimo" w:hAnsi="Arimo"/>
      <w:color w:val="0000FF"/>
      <w:sz w:val="16"/>
      <w:szCs w:val="16"/>
    </w:rPr>
  </w:style>
  <w:style w:type="character" w:customStyle="1" w:styleId="ListLabel29">
    <w:name w:val="ListLabel 29"/>
    <w:qFormat/>
    <w:rPr>
      <w:color w:val="auto"/>
      <w:highlight w:val="whit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a3">
    <w:name w:val="Body Text"/>
    <w:basedOn w:val="a"/>
    <w:pPr>
      <w:spacing w:after="140" w:line="276" w:lineRule="exact"/>
    </w:pPr>
    <w:rPr>
      <w:lang w:eastAsia="ar-SA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sz w:val="24"/>
      <w:lang w:eastAsia="ar-SA"/>
    </w:rPr>
  </w:style>
  <w:style w:type="paragraph" w:styleId="a6">
    <w:name w:val="index heading"/>
    <w:basedOn w:val="a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lang w:eastAsia="hi-I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Liberation Serif" w:hAnsi="Arial" w:cs="Liberation Serif"/>
      <w:sz w:val="16"/>
      <w:lang w:eastAsia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sz w:val="20"/>
      <w:lang w:eastAsia="hi-I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Liberation Serif" w:hAnsi="Arial" w:cs="Liberation Serif"/>
      <w:b/>
      <w:sz w:val="16"/>
      <w:lang w:eastAsia="hi-I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ourier New" w:eastAsia="Liberation Serif" w:hAnsi="Courier New" w:cs="Liberation Serif"/>
      <w:sz w:val="20"/>
      <w:lang w:eastAsia="hi-IN"/>
    </w:rPr>
  </w:style>
  <w:style w:type="paragraph" w:customStyle="1" w:styleId="ConsPlusDocList">
    <w:name w:val="ConsPlusDocList"/>
    <w:qFormat/>
    <w:pPr>
      <w:widowControl w:val="0"/>
      <w:suppressAutoHyphens/>
    </w:pPr>
    <w:rPr>
      <w:rFonts w:ascii="Courier New" w:eastAsia="Liberation Serif" w:hAnsi="Courier New" w:cs="Liberation Serif"/>
      <w:sz w:val="16"/>
      <w:lang w:eastAsia="hi-IN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sz w:val="16"/>
      <w:lang w:eastAsia="hi-IN"/>
    </w:rPr>
  </w:style>
  <w:style w:type="paragraph" w:customStyle="1" w:styleId="ConsPlusJurTerm">
    <w:name w:val="ConsPlusJurTerm"/>
    <w:qFormat/>
    <w:pPr>
      <w:widowControl w:val="0"/>
      <w:suppressAutoHyphens/>
    </w:pPr>
    <w:rPr>
      <w:rFonts w:ascii="Tahoma" w:eastAsia="Liberation Serif" w:hAnsi="Tahoma" w:cs="Liberation Serif"/>
      <w:sz w:val="26"/>
      <w:lang w:eastAsia="hi-IN"/>
    </w:rPr>
  </w:style>
  <w:style w:type="paragraph" w:customStyle="1" w:styleId="ConsPlusTextList">
    <w:name w:val="ConsPlusTextList"/>
    <w:qFormat/>
    <w:pPr>
      <w:widowControl w:val="0"/>
      <w:suppressAutoHyphens/>
    </w:pPr>
    <w:rPr>
      <w:rFonts w:ascii="Arial" w:eastAsia="Liberation Serif" w:hAnsi="Arial" w:cs="Liberation Serif"/>
      <w:sz w:val="20"/>
      <w:lang w:eastAsia="hi-IN"/>
    </w:rPr>
  </w:style>
  <w:style w:type="paragraph" w:customStyle="1" w:styleId="ConsPlusTextList1">
    <w:name w:val="ConsPlusTextList1"/>
    <w:qFormat/>
    <w:pPr>
      <w:widowControl w:val="0"/>
      <w:suppressAutoHyphens/>
    </w:pPr>
    <w:rPr>
      <w:rFonts w:ascii="Arial" w:eastAsia="Liberation Serif" w:hAnsi="Arial" w:cs="Liberation Serif"/>
      <w:sz w:val="20"/>
      <w:lang w:eastAsia="hi-IN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1D38"/>
    <w:pPr>
      <w:spacing w:after="0" w:line="240" w:lineRule="auto"/>
    </w:pPr>
    <w:rPr>
      <w:rFonts w:cs="Mangal"/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C1D38"/>
    <w:rPr>
      <w:rFonts w:ascii="Calibri" w:eastAsia="Liberation Serif" w:hAnsi="Calibri" w:cs="Mangal"/>
      <w:sz w:val="20"/>
      <w:szCs w:val="18"/>
      <w:lang w:eastAsia="hi-IN"/>
    </w:rPr>
  </w:style>
  <w:style w:type="character" w:styleId="ab">
    <w:name w:val="footnote reference"/>
    <w:basedOn w:val="a0"/>
    <w:uiPriority w:val="99"/>
    <w:semiHidden/>
    <w:unhideWhenUsed/>
    <w:rsid w:val="00AC1D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259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A2591"/>
    <w:rPr>
      <w:rFonts w:ascii="Tahoma" w:eastAsia="Liberation Serif" w:hAnsi="Tahoma" w:cs="Mangal"/>
      <w:sz w:val="16"/>
      <w:szCs w:val="14"/>
      <w:lang w:eastAsia="hi-IN"/>
    </w:rPr>
  </w:style>
  <w:style w:type="paragraph" w:styleId="ae">
    <w:name w:val="header"/>
    <w:basedOn w:val="a"/>
    <w:link w:val="af"/>
    <w:uiPriority w:val="99"/>
    <w:unhideWhenUsed/>
    <w:rsid w:val="000A2591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0A2591"/>
    <w:rPr>
      <w:rFonts w:ascii="Calibri" w:eastAsia="Liberation Serif" w:hAnsi="Calibri" w:cs="Mangal"/>
      <w:sz w:val="22"/>
      <w:lang w:eastAsia="hi-IN"/>
    </w:rPr>
  </w:style>
  <w:style w:type="paragraph" w:styleId="af0">
    <w:name w:val="footer"/>
    <w:basedOn w:val="a"/>
    <w:link w:val="af1"/>
    <w:uiPriority w:val="99"/>
    <w:unhideWhenUsed/>
    <w:rsid w:val="000A2591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0A2591"/>
    <w:rPr>
      <w:rFonts w:ascii="Calibri" w:eastAsia="Liberation Serif" w:hAnsi="Calibri" w:cs="Mangal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281867854AB9AFC32BA99C67AB2CD2434CE2F4A2A06D1AA6DFA7DBB7984CFCC3B9CF5ED88FEBAC7hBJ5L" TargetMode="External"/><Relationship Id="rId13" Type="http://schemas.openxmlformats.org/officeDocument/2006/relationships/hyperlink" Target="consultantplus://offline/ref=AA7D07C533DA29C091E3F43CA80D775FA281867854AB9AFC32BA99C67AB2CD2434CE2F4A2A06D1AA63FA7DBB7984CFCC3B9CF5ED88FEBAC7hBJ5L" TargetMode="External"/><Relationship Id="rId18" Type="http://schemas.openxmlformats.org/officeDocument/2006/relationships/hyperlink" Target="consultantplus://offline/ref=AA7D07C533DA29C091E3F43CA80D775FA281867854AB9AFC32BA99C67AB2CD2434CE2F4A2A06D1A969FA7DBB7984CFCC3B9CF5ED88FEBAC7hBJ5L" TargetMode="External"/><Relationship Id="rId26" Type="http://schemas.openxmlformats.org/officeDocument/2006/relationships/hyperlink" Target="consultantplus://offline/ref=AA7D07C533DA29C091E3F43CA80D775FA281867854AB9AFC32BA99C67AB2CD2434CE2F4A2A06D1A86AFA7DBB7984CFCC3B9CF5ED88FEBAC7hBJ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D07C533DA29C091E3F43CA80D775FA281867854AB9AFC32BA99C67AB2CD2434CE2F4A2A06D1A96EFA7DBB7984CFCC3B9CF5ED88FEBAC7hBJ5L" TargetMode="External"/><Relationship Id="rId7" Type="http://schemas.openxmlformats.org/officeDocument/2006/relationships/hyperlink" Target="consultantplus://offline/ref=AA7D07C533DA29C091E3F43CA80D775FA281867854AB9AFC32BA99C67AB2CD2434CE2F4A2A06D1AA6EFA7DBB7984CFCC3B9CF5ED88FEBAC7hBJ5L" TargetMode="External"/><Relationship Id="rId12" Type="http://schemas.openxmlformats.org/officeDocument/2006/relationships/hyperlink" Target="consultantplus://offline/ref=AA7D07C533DA29C091E3F43CA80D775FA281867854AB9AFC32BA99C67AB2CD2434CE2F4A2A06D1AA63FA7DBB7984CFCC3B9CF5ED88FEBAC7hBJ5L" TargetMode="External"/><Relationship Id="rId17" Type="http://schemas.openxmlformats.org/officeDocument/2006/relationships/hyperlink" Target="consultantplus://offline/ref=AA7D07C533DA29C091E3F43CA80D775FA281867854AB9AFC32BA99C67AB2CD2434CE2F4A2A06D1A969FA7DBB7984CFCC3B9CF5ED88FEBAC7hBJ5L" TargetMode="External"/><Relationship Id="rId25" Type="http://schemas.openxmlformats.org/officeDocument/2006/relationships/hyperlink" Target="consultantplus://offline/ref=AA7D07C533DA29C091E3F43CA80D775FA281867854AB9AFC32BA99C67AB2CD2434CE2F4A2A06D1A86AFA7DBB7984CFCC3B9CF5ED88FEBAC7hBJ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7D07C533DA29C091E3F43CA80D775FA281867854AB9AFC32BA99C67AB2CD2434CE2F4A2A06D1A969FA7DBB7984CFCC3B9CF5ED88FEBAC7hBJ5L" TargetMode="External"/><Relationship Id="rId20" Type="http://schemas.openxmlformats.org/officeDocument/2006/relationships/hyperlink" Target="consultantplus://offline/ref=AA7D07C533DA29C091E3F43CA80D775FA281867854AB9AFC32BA99C67AB2CD2434CE2F4A2A06D1A96EFA7DBB7984CFCC3B9CF5ED88FEBAC7hBJ5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7D07C533DA29C091E3F43CA80D775FA281867854AB9AFC32BA99C67AB2CD2434CE2F4A2A06D1AA63FA7DBB7984CFCC3B9CF5ED88FEBAC7hBJ5L" TargetMode="External"/><Relationship Id="rId24" Type="http://schemas.openxmlformats.org/officeDocument/2006/relationships/hyperlink" Target="consultantplus://offline/ref=AA7D07C533DA29C091E3F43CA80D775FA281867854AB9AFC32BA99C67AB2CD2434CE2F4A2A06D1A86AFA7DBB7984CFCC3B9CF5ED88FEBAC7hBJ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7D07C533DA29C091E3F43CA80D775FA281867854AB9AFC32BA99C67AB2CD2434CE2F4A2A06D1A96AFA7DBB7984CFCC3B9CF5ED88FEBAC7hBJ5L" TargetMode="External"/><Relationship Id="rId23" Type="http://schemas.openxmlformats.org/officeDocument/2006/relationships/hyperlink" Target="consultantplus://offline/ref=AA7D07C533DA29C091E3F43CA80D775FA281867854AB9AFC32BA99C67AB2CD2434CE2F4A2A06D1A86BFA7DBB7984CFCC3B9CF5ED88FEBAC7hBJ5L" TargetMode="External"/><Relationship Id="rId28" Type="http://schemas.openxmlformats.org/officeDocument/2006/relationships/hyperlink" Target="consultantplus://offline/ref=AA7D07C533DA29C091E3F43CA80D775FA281867854AB9AFC32BA99C67AB2CD2434CE2F4A2A06D1A86FFA7DBB7984CFCC3B9CF5ED88FEBAC7hBJ5L" TargetMode="External"/><Relationship Id="rId10" Type="http://schemas.openxmlformats.org/officeDocument/2006/relationships/hyperlink" Target="consultantplus://offline/ref=AA7D07C533DA29C091E3F43CA80D775FA281867854AB9AFC32BA99C67AB2CD2434CE2F4A2A06D1AA63FA7DBB7984CFCC3B9CF5ED88FEBAC7hBJ5L" TargetMode="External"/><Relationship Id="rId19" Type="http://schemas.openxmlformats.org/officeDocument/2006/relationships/hyperlink" Target="consultantplus://offline/ref=AA7D07C533DA29C091E3F43CA80D775FA281867854AB9AFC32BA99C67AB2CD2434CE2F4A2A06D1A96EFA7DBB7984CFCC3B9CF5ED88FEBAC7hBJ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D07C533DA29C091E3F43CA80D775FA281867854AB9AFC32BA99C67AB2CD2434CE2F4A2A06D1AA6CFA7DBB7984CFCC3B9CF5ED88FEBAC7hBJ5L" TargetMode="External"/><Relationship Id="rId14" Type="http://schemas.openxmlformats.org/officeDocument/2006/relationships/hyperlink" Target="consultantplus://offline/ref=AA7D07C533DA29C091E3F43CA80D775FA281867854AB9AFC32BA99C67AB2CD2434CE2F4A2A06D1AA63FA7DBB7984CFCC3B9CF5ED88FEBAC7hBJ5L" TargetMode="External"/><Relationship Id="rId22" Type="http://schemas.openxmlformats.org/officeDocument/2006/relationships/hyperlink" Target="consultantplus://offline/ref=AA7D07C533DA29C091E3F43CA80D775FA281867854AB9AFC32BA99C67AB2CD2434CE2F4A2A06D1A96EFA7DBB7984CFCC3B9CF5ED88FEBAC7hBJ5L" TargetMode="External"/><Relationship Id="rId27" Type="http://schemas.openxmlformats.org/officeDocument/2006/relationships/hyperlink" Target="consultantplus://offline/ref=AA7D07C533DA29C091E3F43CA80D775FA281867854AB9AFC32BA99C67AB2CD2434CE2F4A2A06D1A86FFA7DBB7984CFCC3B9CF5ED88FEBAC7hBJ5L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A7D07C533DA29C091E3F43CA80D775FA588857054A89AFC32BA99C67AB2CD2426CE77462A02CEAE69EF2BEA3FhD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B971-38B5-42FF-B89F-724B9CF6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должностными лицами орган</vt:lpstr>
    </vt:vector>
  </TitlesOfParts>
  <Company>КонсультантПлюс Версия 4022.00.55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должностными лицами орган</dc:title>
  <dc:subject/>
  <dc:creator>Старший инспектор - Мащицкий А.О.</dc:creator>
  <dc:description/>
  <cp:lastModifiedBy>Инспектор - Босова А.В.</cp:lastModifiedBy>
  <cp:revision>3</cp:revision>
  <cp:lastPrinted>2022-12-08T07:42:00Z</cp:lastPrinted>
  <dcterms:created xsi:type="dcterms:W3CDTF">2022-12-08T09:34:00Z</dcterms:created>
  <dcterms:modified xsi:type="dcterms:W3CDTF">2022-12-12T09:51:00Z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  <property fmtid="{D5CDD505-2E9C-101B-9397-08002B2CF9AE}" pid="3" name="Operator">
    <vt:lpwstr>Старший инспектор - Мащицкий А.О.</vt:lpwstr>
  </property>
</Properties>
</file>